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template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Getting every vendor to answer the same questions in the same format is the basis of a fair comparison. Fill this template in for your operation; for an RFI, sections 1–4, 11 and 12 are usually enough.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Fill in the bracketed fields and delete rows that do not apply to your operation.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Give each requirement a priority: </w:t>
      </w:r>
      <w:r>
        <w:rPr>
          <w:rFonts w:ascii="Calibri" w:cs="Calibri" w:eastAsia="Calibri" w:hAnsi="Calibri"/>
          <w:b/>
          <w:bCs/>
        </w:rPr>
        <w:t xml:space="preserve">M</w:t>
      </w:r>
      <w:r>
        <w:rPr>
          <w:rFonts w:ascii="Calibri" w:cs="Calibri" w:eastAsia="Calibri" w:hAnsi="Calibri"/>
        </w:rPr>
        <w:t xml:space="preserve">ust, </w:t>
      </w:r>
      <w:r>
        <w:rPr>
          <w:rFonts w:ascii="Calibri" w:cs="Calibri" w:eastAsia="Calibri" w:hAnsi="Calibri"/>
          <w:b/>
          <w:bCs/>
        </w:rPr>
        <w:t xml:space="preserve">I</w:t>
      </w:r>
      <w:r>
        <w:rPr>
          <w:rFonts w:ascii="Calibri" w:cs="Calibri" w:eastAsia="Calibri" w:hAnsi="Calibri"/>
        </w:rPr>
        <w:t xml:space="preserve">mportant, </w:t>
      </w:r>
      <w:r>
        <w:rPr>
          <w:rFonts w:ascii="Calibri" w:cs="Calibri" w:eastAsia="Calibri" w:hAnsi="Calibri"/>
          <w:b/>
          <w:bCs/>
        </w:rPr>
        <w:t xml:space="preserve">O</w:t>
      </w:r>
      <w:r>
        <w:rPr>
          <w:rFonts w:ascii="Calibri" w:cs="Calibri" w:eastAsia="Calibri" w:hAnsi="Calibri"/>
        </w:rPr>
        <w:t xml:space="preserve">ptional. Keep the number of musts to what is truly essential.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Ask vendors to answer each line as Standard / Configuration / Development / Not available. “Development” answers must be priced separately.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You can download the requirements matrix as a CSV file to fill in with Excel.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Company and project summary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Company name and sector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owner and contact person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goal (why now?)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Warehouses / sites in scope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Target go-live date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Budget range (optional)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Scope and objectives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Write measurable objectives and ask vendors to explain how they will help achieve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Objective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Current value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Target value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will be measured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accuracy (by location)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 picking accuracy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Lines picked per picker hour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Dock-to-stock time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Same-day shipment rate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Current state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Number of warehouses, total area (m²) and height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Storage types (racking, block stacking, narrow aisle, cold room…)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Active SKUs; share of SKUs needing lot / expiry / serial tracking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Average and peak orders / lines per day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Daily receiving (vehicles / notes) and shipping volume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Shift pattern and warehouse headcount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in use, version and hosting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Current warehouse system (if any) and known issues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Existing hardware (handhelds, printers, Wi-Fi, automation)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Functional requirements</w:t>
      </w:r>
    </w:p>
    <w:p>
      <w:pPr>
        <w:spacing w:after="120"/>
      </w:pPr>
      <w:r>
        <w:rPr>
          <w:rFonts w:ascii="Calibri" w:cs="Calibri" w:eastAsia="Calibri" w:hAnsi="Calibri"/>
        </w:rPr>
        <w:t xml:space="preserve">Enter M / I / O in the priority column. The vendor answers Standard / Configuration / Development / Not available and adds evidence (screenshots, documents) where needed.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Response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Expected receipts against ERP purchase orders / ASNs with discrepancy reporting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Capture of lot, expiry and serial numbers at receipt, read from barcodes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Quality control / quarantine status and release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Rule-based location suggestions (item class, size, weight, ABC, zone)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Automatic replenishment (min/max, demand-driven)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Real-time stock by location, pallet and case; stock statuses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Cycle counts, full counts, variance approval and audit trail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and lot-based allocation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Single-order, batch, wave and zone picking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Pick-path optimisation and workload balancing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Order priority, cut-off times and partial shipment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Pack-station verification, carton contents and weight checks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Carrier integration, labels and tracking numbers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Dock / loading plan, delivery notes and e-waybill flow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Returns receipt, condition grading and restocking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Forward and backward traceability by lot / serial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ITS / ÜTS reporting and data-matrix aggregation (if applicable)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Multi-client stock and rule separation, client portal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Activity-based billing (storage, handling, value-added services)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Labour: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Task management, user performance and engineered standards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Handheld app (Android) and behaviour when offline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Integration with conveyor, sorter, AS/RS or robot control systems (WCS)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Standard KPI reports, user-defined reports and data export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Administration: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Role-based access control and user activity logs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Integration requirements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System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Data exchanged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Direction and frequency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Method (API, file, middleware)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orders, stock movements, delivery notes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E-commerce / marketplaces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Orders, stock updates, returns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Carriers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Shipment creation, labels, tracking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e-Invoice / e-Waybill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Delivery note and invoice documents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Task orders and confirmations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Who builds the integration and who maintains it? Is development on the ERP side included in the quote?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failed messages monitored and resent?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API documentation public or can it be shared during the bid?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Technical infrastructure, security and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options (cloud, on-premise, hybrid) and data centre location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frequency, retention and disaster recovery targets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Information security certifications (e.g. ISO 27001) and independent audits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Authentication (SSO, multi-factor) and access model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Role under KVKK (data processor), sub-processors and any cross-border transfer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Release and upgrade policy and its impact on the customer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Implementation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Project methodology, phases and the deliverables of each phase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Vendor team: roles, experience and who will work on site in Turkey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Customer team and time commitment expected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Data migration, testing and training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Estimated duration and critical dependencies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Support and service levels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Definition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First response time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Resolution / workaround time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Critical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Shipping or receiving has stopped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High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key process is running with restrictions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Single user or issue with a workaround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Also ask for support hours (24/7 or business hours), support in Turkish, support channels and the availability commitment (for cloud).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Commercial proposal format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every vendor to fill in the same table, excluding VAT and in a single currency.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1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2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3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4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5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/ subscription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Maintenance and support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and consulting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development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Development (“Development” lines in the matrix)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/ infrastructure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is the licence unit (named user, concurrent user, site, transaction volume)? What happens on overage?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annual price increases set and are they capped?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the payment plan tied to project milestones?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You can use the ROI / TCO calculator to compare the proposals.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References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for at least three references of similar size and sector that went live in the last three years, and meet at least one on site. Use the SET-03 question list for the calls.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Evaluation criteria</w:t>
      </w:r>
    </w:p>
    <w:p>
      <w:pPr>
        <w:spacing w:after="120"/>
      </w:pPr>
      <w:r>
        <w:rPr>
          <w:rFonts w:ascii="Calibri" w:cs="Calibri" w:eastAsia="Calibri" w:hAnsi="Calibri"/>
        </w:rPr>
        <w:t xml:space="preserve">Set the weights before opening the proposals and do not change them. The weights below are examples only.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Criterion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Example weight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is scored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Functional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Requirements matrix + demo score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and technical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plan, architecture, security answers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team and approach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plan, team experience, references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5-year total cost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Commercial table and TCO calculation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viability and support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Financial standing, support in Turkey, roadmap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Timeline and response rules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Step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issued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questions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responses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Scripted demos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calls and site visit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Decision and contract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Questions are submitted in writing to a single contact; answers are shared with all vendors.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Responses follow the order of this template, with the requirements matrix in Excel format.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Proposals must remain valid for at least 90 days.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Confidentiality: this document and its attachments may only be used to prepare a proposal.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template</dc:title>
  <dc:creator>WMSTurkiye.com</dc:creator>
  <dc:description>An editable template for the WMS request for proposal (RFP) and request for information (RFI) you send to vendors: current state, requirements matrix, integration, security, commercial format and evaluation criteria.</dc:description>
  <cp:lastModifiedBy>Un-named</cp:lastModifiedBy>
  <cp:revision>1</cp:revision>
  <dcterms:created xsi:type="dcterms:W3CDTF">2026-09-19T15:10:57.236Z</dcterms:created>
  <dcterms:modified xsi:type="dcterms:W3CDTF">2026-09-19T15:10:57.236Z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